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tbl>
      <w:tblPr>
        <w:tblW w:w="936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680"/>
        <w:gridCol w:w="4680"/>
      </w:tblGrid>
      <w:tr>
        <w:tc>
          <w:tcPr>
            <w:tcW w:w="468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Vážení občané,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>obec Přezletice informuje, že poslední odvoz komunálního odpadu na známku z roku 2025 proběhne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8"/>
                <w:szCs w:val="28"/>
              </w:rPr>
              <w:t xml:space="preserve"> 25.3.2026.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Děkujeme za včasné zakoupení nové známky.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OÚ Přezletice
</w:t>
            </w:r>
          </w:p>
        </w:tc>
        <w:tc>
          <w:tcPr>
            <w:tcW w:w="468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213229" cy="2939540"/>
                  <wp:docPr id="0" name="Drawing 0" descr="7ee2e91baadda29c6e59ba873f0c13ea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7ee2e91baadda29c6e59ba873f0c13ea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213229" cy="2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2026-03-16T11:34:50Z</dcterms:created>
  <dc:creator>Apache POI</dc:creator>
  <dc:title>Vážení občané,</dc:title>
</cp:coreProperties>
</file>